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15110" w14:textId="77777777" w:rsidR="00CB55F5" w:rsidRPr="00CB55F5" w:rsidRDefault="00CB55F5" w:rsidP="00CB55F5">
      <w:pPr>
        <w:spacing w:before="100" w:beforeAutospacing="1" w:after="100" w:afterAutospacing="1" w:line="240" w:lineRule="auto"/>
        <w:jc w:val="center"/>
        <w:rPr>
          <w:rFonts w:ascii="Times New Roman" w:eastAsia="Times New Roman" w:hAnsi="Times New Roman" w:cs="Times New Roman"/>
          <w:sz w:val="24"/>
          <w:szCs w:val="24"/>
          <w:lang w:eastAsia="fr-FR"/>
        </w:rPr>
      </w:pPr>
      <w:r w:rsidRPr="00CB55F5">
        <w:rPr>
          <w:rFonts w:ascii="Times New Roman" w:eastAsia="Times New Roman" w:hAnsi="Times New Roman" w:cs="Times New Roman"/>
          <w:b/>
          <w:bCs/>
          <w:sz w:val="24"/>
          <w:szCs w:val="24"/>
          <w:lang w:eastAsia="fr-FR"/>
        </w:rPr>
        <w:t>COMMUNIQUÉ DE PRESSE</w:t>
      </w:r>
    </w:p>
    <w:p w14:paraId="732F8516" w14:textId="3C2F39B0" w:rsidR="00CB55F5" w:rsidRP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b/>
          <w:bCs/>
          <w:sz w:val="24"/>
          <w:szCs w:val="24"/>
          <w:lang w:eastAsia="fr-FR"/>
        </w:rPr>
        <w:t>Plus de 1 000 experts africains</w:t>
      </w:r>
      <w:r w:rsidR="00170C47">
        <w:rPr>
          <w:rFonts w:ascii="Times New Roman" w:eastAsia="Times New Roman" w:hAnsi="Times New Roman" w:cs="Times New Roman"/>
          <w:b/>
          <w:bCs/>
          <w:sz w:val="24"/>
          <w:szCs w:val="24"/>
          <w:lang w:eastAsia="fr-FR"/>
        </w:rPr>
        <w:t xml:space="preserve"> et européens</w:t>
      </w:r>
      <w:r w:rsidRPr="00CB55F5">
        <w:rPr>
          <w:rFonts w:ascii="Times New Roman" w:eastAsia="Times New Roman" w:hAnsi="Times New Roman" w:cs="Times New Roman"/>
          <w:b/>
          <w:bCs/>
          <w:sz w:val="24"/>
          <w:szCs w:val="24"/>
          <w:lang w:eastAsia="fr-FR"/>
        </w:rPr>
        <w:t xml:space="preserve"> de la conformité</w:t>
      </w:r>
      <w:r w:rsidR="00170C47">
        <w:rPr>
          <w:rFonts w:ascii="Times New Roman" w:eastAsia="Times New Roman" w:hAnsi="Times New Roman" w:cs="Times New Roman"/>
          <w:b/>
          <w:bCs/>
          <w:sz w:val="24"/>
          <w:szCs w:val="24"/>
          <w:lang w:eastAsia="fr-FR"/>
        </w:rPr>
        <w:t xml:space="preserve"> et des risques</w:t>
      </w:r>
      <w:r w:rsidRPr="00CB55F5">
        <w:rPr>
          <w:rFonts w:ascii="Times New Roman" w:eastAsia="Times New Roman" w:hAnsi="Times New Roman" w:cs="Times New Roman"/>
          <w:b/>
          <w:bCs/>
          <w:sz w:val="24"/>
          <w:szCs w:val="24"/>
          <w:lang w:eastAsia="fr-FR"/>
        </w:rPr>
        <w:t xml:space="preserve"> se réunissent à Lomé les 8 et 9 juillet 2026</w:t>
      </w:r>
    </w:p>
    <w:p w14:paraId="011198A1" w14:textId="77777777" w:rsidR="00CB55F5" w:rsidRP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sz w:val="24"/>
          <w:szCs w:val="24"/>
          <w:lang w:eastAsia="fr-FR"/>
        </w:rPr>
        <w:t xml:space="preserve">La 3ème édition de la Grande Rencontre des Compliance et Risk Officers (GRCRO) se tiendra les 8 et 9 juillet 2026 à l'hôtel 2 Février de Lomé, au Togo. Placé sous le haut patronage de </w:t>
      </w:r>
      <w:r>
        <w:rPr>
          <w:rFonts w:ascii="Times New Roman" w:eastAsia="Times New Roman" w:hAnsi="Times New Roman" w:cs="Times New Roman"/>
          <w:sz w:val="24"/>
          <w:szCs w:val="24"/>
          <w:lang w:eastAsia="fr-FR"/>
        </w:rPr>
        <w:t xml:space="preserve">SEM </w:t>
      </w:r>
      <w:r w:rsidRPr="00CB55F5">
        <w:rPr>
          <w:rFonts w:ascii="Times New Roman" w:eastAsia="Times New Roman" w:hAnsi="Times New Roman" w:cs="Times New Roman"/>
          <w:sz w:val="24"/>
          <w:szCs w:val="24"/>
          <w:lang w:eastAsia="fr-FR"/>
        </w:rPr>
        <w:t xml:space="preserve">Faure </w:t>
      </w:r>
      <w:proofErr w:type="spellStart"/>
      <w:r w:rsidRPr="00CB55F5">
        <w:rPr>
          <w:rFonts w:ascii="Times New Roman" w:eastAsia="Times New Roman" w:hAnsi="Times New Roman" w:cs="Times New Roman"/>
          <w:b/>
          <w:sz w:val="24"/>
          <w:szCs w:val="24"/>
          <w:lang w:eastAsia="fr-FR"/>
        </w:rPr>
        <w:t>Essozimna</w:t>
      </w:r>
      <w:proofErr w:type="spellEnd"/>
      <w:r w:rsidRPr="00CB55F5">
        <w:rPr>
          <w:rFonts w:ascii="Times New Roman" w:eastAsia="Times New Roman" w:hAnsi="Times New Roman" w:cs="Times New Roman"/>
          <w:b/>
          <w:sz w:val="24"/>
          <w:szCs w:val="24"/>
          <w:lang w:eastAsia="fr-FR"/>
        </w:rPr>
        <w:t xml:space="preserve"> Gnassingbé</w:t>
      </w:r>
      <w:r w:rsidRPr="00CB55F5">
        <w:rPr>
          <w:rFonts w:ascii="Times New Roman" w:eastAsia="Times New Roman" w:hAnsi="Times New Roman" w:cs="Times New Roman"/>
          <w:sz w:val="24"/>
          <w:szCs w:val="24"/>
          <w:lang w:eastAsia="fr-FR"/>
        </w:rPr>
        <w:t>, Président du Conseil, cet événement international réunira des spécialistes venus de plus de 43 pays d'Afrique et d'autres continents.</w:t>
      </w:r>
    </w:p>
    <w:p w14:paraId="1B1900E1" w14:textId="77777777" w:rsidR="00CB55F5" w:rsidRP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sz w:val="24"/>
          <w:szCs w:val="24"/>
          <w:lang w:eastAsia="fr-FR"/>
        </w:rPr>
        <w:t xml:space="preserve">Les travaux s'articuleront autour du thème : </w:t>
      </w:r>
      <w:r w:rsidRPr="00CB55F5">
        <w:rPr>
          <w:rFonts w:ascii="Times New Roman" w:eastAsia="Times New Roman" w:hAnsi="Times New Roman" w:cs="Times New Roman"/>
          <w:b/>
          <w:bCs/>
          <w:sz w:val="24"/>
          <w:szCs w:val="24"/>
          <w:lang w:eastAsia="fr-FR"/>
        </w:rPr>
        <w:t>« La fraude, la corruption et les autres infractions sous-jacentes au blanchiment des capitaux et au financement du terrorisme à l'ère de l'intelligence artificielle »</w:t>
      </w:r>
      <w:r w:rsidRPr="00CB55F5">
        <w:rPr>
          <w:rFonts w:ascii="Times New Roman" w:eastAsia="Times New Roman" w:hAnsi="Times New Roman" w:cs="Times New Roman"/>
          <w:sz w:val="24"/>
          <w:szCs w:val="24"/>
          <w:lang w:eastAsia="fr-FR"/>
        </w:rPr>
        <w:t>.</w:t>
      </w:r>
    </w:p>
    <w:p w14:paraId="2943678C" w14:textId="77777777" w:rsidR="00CB55F5" w:rsidRP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sz w:val="24"/>
          <w:szCs w:val="24"/>
          <w:lang w:eastAsia="fr-FR"/>
        </w:rPr>
        <w:t>Dans un contexte où les réseaux criminels transnationaux recourent désormais aux algorithmes pour automatiser leurs opérations illicites et contourner les dispositifs de détection, les institutions financières, les régulateurs et les cellules de renseignement financier sont appelés à adapter leurs stratégies. La rencontre examinera comment l'intelligence artificielle peut, à la fois, servir les circuits criminels et renforcer les outils de conformité.</w:t>
      </w:r>
    </w:p>
    <w:p w14:paraId="19E8207E" w14:textId="77777777" w:rsidR="00CB55F5" w:rsidRP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b/>
          <w:bCs/>
          <w:sz w:val="24"/>
          <w:szCs w:val="24"/>
          <w:lang w:eastAsia="fr-FR"/>
        </w:rPr>
        <w:t>Cinq panels thématiques</w:t>
      </w:r>
      <w:r w:rsidRPr="00CB55F5">
        <w:rPr>
          <w:rFonts w:ascii="Times New Roman" w:eastAsia="Times New Roman" w:hAnsi="Times New Roman" w:cs="Times New Roman"/>
          <w:sz w:val="24"/>
          <w:szCs w:val="24"/>
          <w:lang w:eastAsia="fr-FR"/>
        </w:rPr>
        <w:t xml:space="preserve"> structureront les échanges : l'intégration des entreprises et professions non financières (EPNFD) dans le périmètre du GAFI ; l'apport de l'IA dans les processus KYC et de diligence raisonnable ; la détection proactive de la fraude avec les techniques et outils innovants ; la prise en compte des Personnes Politiquement Exposées et des bénéficiaires effectifs dans l'évaluation des risques ; et un atelier pratique sur la méthodologie de rédaction des procédures de contrôle interne.</w:t>
      </w:r>
    </w:p>
    <w:p w14:paraId="79334D8F" w14:textId="77777777" w:rsidR="00CB55F5" w:rsidRP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b/>
          <w:bCs/>
          <w:sz w:val="24"/>
          <w:szCs w:val="24"/>
          <w:lang w:eastAsia="fr-FR"/>
        </w:rPr>
        <w:t>Des intervenants de référence internationale</w:t>
      </w:r>
    </w:p>
    <w:p w14:paraId="40336FF5" w14:textId="77777777" w:rsidR="00CB55F5" w:rsidRP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sz w:val="24"/>
          <w:szCs w:val="24"/>
          <w:lang w:eastAsia="fr-FR"/>
        </w:rPr>
        <w:t xml:space="preserve">Le discours inaugural sera prononcé par </w:t>
      </w:r>
      <w:r w:rsidRPr="00CB55F5">
        <w:rPr>
          <w:rFonts w:ascii="Times New Roman" w:eastAsia="Times New Roman" w:hAnsi="Times New Roman" w:cs="Times New Roman"/>
          <w:b/>
          <w:bCs/>
          <w:sz w:val="24"/>
          <w:szCs w:val="24"/>
          <w:lang w:eastAsia="fr-FR"/>
        </w:rPr>
        <w:t>Nathalie Goulet</w:t>
      </w:r>
      <w:r w:rsidRPr="00CB55F5">
        <w:rPr>
          <w:rFonts w:ascii="Times New Roman" w:eastAsia="Times New Roman" w:hAnsi="Times New Roman" w:cs="Times New Roman"/>
          <w:sz w:val="24"/>
          <w:szCs w:val="24"/>
          <w:lang w:eastAsia="fr-FR"/>
        </w:rPr>
        <w:t xml:space="preserve">, sénatrice de la République française et vice-présidente du groupe d'amitié France-Afrique de l'Ouest. Auteure reconnue de </w:t>
      </w:r>
      <w:r w:rsidRPr="00CB55F5">
        <w:rPr>
          <w:rFonts w:ascii="Times New Roman" w:eastAsia="Times New Roman" w:hAnsi="Times New Roman" w:cs="Times New Roman"/>
          <w:i/>
          <w:iCs/>
          <w:sz w:val="24"/>
          <w:szCs w:val="24"/>
          <w:lang w:eastAsia="fr-FR"/>
        </w:rPr>
        <w:t>L'Argent du terrorisme</w:t>
      </w:r>
      <w:r w:rsidRPr="00CB55F5">
        <w:rPr>
          <w:rFonts w:ascii="Times New Roman" w:eastAsia="Times New Roman" w:hAnsi="Times New Roman" w:cs="Times New Roman"/>
          <w:sz w:val="24"/>
          <w:szCs w:val="24"/>
          <w:lang w:eastAsia="fr-FR"/>
        </w:rPr>
        <w:t xml:space="preserve">, elle apportera son expertise sur les mécanismes de financement des groupes terroristes. Sa </w:t>
      </w:r>
      <w:proofErr w:type="spellStart"/>
      <w:r w:rsidRPr="00CB55F5">
        <w:rPr>
          <w:rFonts w:ascii="Times New Roman" w:eastAsia="Times New Roman" w:hAnsi="Times New Roman" w:cs="Times New Roman"/>
          <w:sz w:val="24"/>
          <w:szCs w:val="24"/>
          <w:lang w:eastAsia="fr-FR"/>
        </w:rPr>
        <w:t>keynote</w:t>
      </w:r>
      <w:proofErr w:type="spellEnd"/>
      <w:r w:rsidRPr="00CB55F5">
        <w:rPr>
          <w:rFonts w:ascii="Times New Roman" w:eastAsia="Times New Roman" w:hAnsi="Times New Roman" w:cs="Times New Roman"/>
          <w:sz w:val="24"/>
          <w:szCs w:val="24"/>
          <w:lang w:eastAsia="fr-FR"/>
        </w:rPr>
        <w:t xml:space="preserve"> portera spécifiquement sur la lutte contre le blanchiment, le trafic d'or, le trafic de migrants et la contrefaçon.</w:t>
      </w:r>
    </w:p>
    <w:p w14:paraId="105AD5C2" w14:textId="77777777" w:rsidR="00CB55F5" w:rsidRP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b/>
          <w:bCs/>
          <w:sz w:val="24"/>
          <w:szCs w:val="24"/>
          <w:lang w:eastAsia="fr-FR"/>
        </w:rPr>
        <w:t>Quentin Mugg</w:t>
      </w:r>
      <w:r w:rsidRPr="00CB55F5">
        <w:rPr>
          <w:rFonts w:ascii="Times New Roman" w:eastAsia="Times New Roman" w:hAnsi="Times New Roman" w:cs="Times New Roman"/>
          <w:sz w:val="24"/>
          <w:szCs w:val="24"/>
          <w:lang w:eastAsia="fr-FR"/>
        </w:rPr>
        <w:t xml:space="preserve">, commandant de police basé à Amsterdam pour Europol, partagera son expérience opérationnelle des réseaux de blanchiment transnationaux. </w:t>
      </w:r>
      <w:r w:rsidRPr="00CB55F5">
        <w:rPr>
          <w:rFonts w:ascii="Times New Roman" w:eastAsia="Times New Roman" w:hAnsi="Times New Roman" w:cs="Times New Roman"/>
          <w:b/>
          <w:bCs/>
          <w:sz w:val="24"/>
          <w:szCs w:val="24"/>
          <w:lang w:eastAsia="fr-FR"/>
        </w:rPr>
        <w:t>Geert Delrue</w:t>
      </w:r>
      <w:r w:rsidRPr="00CB55F5">
        <w:rPr>
          <w:rFonts w:ascii="Times New Roman" w:eastAsia="Times New Roman" w:hAnsi="Times New Roman" w:cs="Times New Roman"/>
          <w:sz w:val="24"/>
          <w:szCs w:val="24"/>
          <w:lang w:eastAsia="fr-FR"/>
        </w:rPr>
        <w:t xml:space="preserve">, ancien commissaire judiciaire belge devenu expert en fraude économique et financière, apportera sa connaissance approfondie des circuits de dissimulation de capitaux. </w:t>
      </w:r>
      <w:r w:rsidRPr="00CB55F5">
        <w:rPr>
          <w:rFonts w:ascii="Times New Roman" w:eastAsia="Times New Roman" w:hAnsi="Times New Roman" w:cs="Times New Roman"/>
          <w:b/>
          <w:bCs/>
          <w:sz w:val="24"/>
          <w:szCs w:val="24"/>
          <w:lang w:eastAsia="fr-FR"/>
        </w:rPr>
        <w:t xml:space="preserve">Ilyas </w:t>
      </w:r>
      <w:proofErr w:type="spellStart"/>
      <w:r w:rsidRPr="00CB55F5">
        <w:rPr>
          <w:rFonts w:ascii="Times New Roman" w:eastAsia="Times New Roman" w:hAnsi="Times New Roman" w:cs="Times New Roman"/>
          <w:b/>
          <w:bCs/>
          <w:sz w:val="24"/>
          <w:szCs w:val="24"/>
          <w:lang w:eastAsia="fr-FR"/>
        </w:rPr>
        <w:t>Berrajaa</w:t>
      </w:r>
      <w:proofErr w:type="spellEnd"/>
      <w:r w:rsidRPr="00CB55F5">
        <w:rPr>
          <w:rFonts w:ascii="Times New Roman" w:eastAsia="Times New Roman" w:hAnsi="Times New Roman" w:cs="Times New Roman"/>
          <w:sz w:val="24"/>
          <w:szCs w:val="24"/>
          <w:lang w:eastAsia="fr-FR"/>
        </w:rPr>
        <w:t xml:space="preserve">, </w:t>
      </w:r>
      <w:proofErr w:type="spellStart"/>
      <w:r w:rsidRPr="00CB55F5">
        <w:rPr>
          <w:rFonts w:ascii="Times New Roman" w:eastAsia="Times New Roman" w:hAnsi="Times New Roman" w:cs="Times New Roman"/>
          <w:sz w:val="24"/>
          <w:szCs w:val="24"/>
          <w:lang w:eastAsia="fr-FR"/>
        </w:rPr>
        <w:t>Managing</w:t>
      </w:r>
      <w:proofErr w:type="spellEnd"/>
      <w:r w:rsidRPr="00CB55F5">
        <w:rPr>
          <w:rFonts w:ascii="Times New Roman" w:eastAsia="Times New Roman" w:hAnsi="Times New Roman" w:cs="Times New Roman"/>
          <w:sz w:val="24"/>
          <w:szCs w:val="24"/>
          <w:lang w:eastAsia="fr-FR"/>
        </w:rPr>
        <w:t xml:space="preserve"> Director chez BPC Africa, basé aux Émirats arabes unis, présentera les solutions technologiques adaptées au contexte africain.</w:t>
      </w:r>
    </w:p>
    <w:p w14:paraId="07C73F75" w14:textId="77777777" w:rsidR="00CB55F5" w:rsidRP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sz w:val="24"/>
          <w:szCs w:val="24"/>
          <w:lang w:eastAsia="fr-FR"/>
        </w:rPr>
        <w:t xml:space="preserve">La dimension institutionnelle africaine sera représentée par </w:t>
      </w:r>
      <w:proofErr w:type="spellStart"/>
      <w:r w:rsidRPr="00CB55F5">
        <w:rPr>
          <w:rFonts w:ascii="Times New Roman" w:eastAsia="Times New Roman" w:hAnsi="Times New Roman" w:cs="Times New Roman"/>
          <w:b/>
          <w:bCs/>
          <w:sz w:val="24"/>
          <w:szCs w:val="24"/>
          <w:lang w:eastAsia="fr-FR"/>
        </w:rPr>
        <w:t>Odjoulore</w:t>
      </w:r>
      <w:proofErr w:type="spellEnd"/>
      <w:r w:rsidRPr="00CB55F5">
        <w:rPr>
          <w:rFonts w:ascii="Times New Roman" w:eastAsia="Times New Roman" w:hAnsi="Times New Roman" w:cs="Times New Roman"/>
          <w:b/>
          <w:bCs/>
          <w:sz w:val="24"/>
          <w:szCs w:val="24"/>
          <w:lang w:eastAsia="fr-FR"/>
        </w:rPr>
        <w:t xml:space="preserve"> Akakpo</w:t>
      </w:r>
      <w:r w:rsidRPr="00CB55F5">
        <w:rPr>
          <w:rFonts w:ascii="Times New Roman" w:eastAsia="Times New Roman" w:hAnsi="Times New Roman" w:cs="Times New Roman"/>
          <w:sz w:val="24"/>
          <w:szCs w:val="24"/>
          <w:lang w:eastAsia="fr-FR"/>
        </w:rPr>
        <w:t xml:space="preserve">, Commissaire Divisionnaire et Directrice du renseignement financier et de la stratégie à la CENTIF-Togo ; </w:t>
      </w:r>
      <w:proofErr w:type="spellStart"/>
      <w:r w:rsidRPr="00CB55F5">
        <w:rPr>
          <w:rFonts w:ascii="Times New Roman" w:eastAsia="Times New Roman" w:hAnsi="Times New Roman" w:cs="Times New Roman"/>
          <w:b/>
          <w:bCs/>
          <w:sz w:val="24"/>
          <w:szCs w:val="24"/>
          <w:lang w:eastAsia="fr-FR"/>
        </w:rPr>
        <w:t>Khadidjatou</w:t>
      </w:r>
      <w:proofErr w:type="spellEnd"/>
      <w:r w:rsidRPr="00CB55F5">
        <w:rPr>
          <w:rFonts w:ascii="Times New Roman" w:eastAsia="Times New Roman" w:hAnsi="Times New Roman" w:cs="Times New Roman"/>
          <w:b/>
          <w:bCs/>
          <w:sz w:val="24"/>
          <w:szCs w:val="24"/>
          <w:lang w:eastAsia="fr-FR"/>
        </w:rPr>
        <w:t xml:space="preserve"> Fayez Fall</w:t>
      </w:r>
      <w:r w:rsidRPr="00CB55F5">
        <w:rPr>
          <w:rFonts w:ascii="Times New Roman" w:eastAsia="Times New Roman" w:hAnsi="Times New Roman" w:cs="Times New Roman"/>
          <w:sz w:val="24"/>
          <w:szCs w:val="24"/>
          <w:lang w:eastAsia="fr-FR"/>
        </w:rPr>
        <w:t xml:space="preserve">, Secrétaire Générale de la CENTIF-Sénégal ; et </w:t>
      </w:r>
      <w:r w:rsidRPr="00CB55F5">
        <w:rPr>
          <w:rFonts w:ascii="Times New Roman" w:eastAsia="Times New Roman" w:hAnsi="Times New Roman" w:cs="Times New Roman"/>
          <w:b/>
          <w:bCs/>
          <w:sz w:val="24"/>
          <w:szCs w:val="24"/>
          <w:lang w:eastAsia="fr-FR"/>
        </w:rPr>
        <w:t>Vania Da Rosa</w:t>
      </w:r>
      <w:r w:rsidRPr="00CB55F5">
        <w:rPr>
          <w:rFonts w:ascii="Times New Roman" w:eastAsia="Times New Roman" w:hAnsi="Times New Roman" w:cs="Times New Roman"/>
          <w:sz w:val="24"/>
          <w:szCs w:val="24"/>
          <w:lang w:eastAsia="fr-FR"/>
        </w:rPr>
        <w:t>, Présidente du Forum des Compliance Officers du GIABA et Chief Compliance Officer à la Banque Centrale du Cap-Vert.</w:t>
      </w:r>
    </w:p>
    <w:p w14:paraId="01DA2607" w14:textId="77777777" w:rsidR="00CB55F5" w:rsidRP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sz w:val="24"/>
          <w:szCs w:val="24"/>
          <w:lang w:eastAsia="fr-FR"/>
        </w:rPr>
        <w:t xml:space="preserve">Le secteur bancaire africain sera quant à lui représenté par </w:t>
      </w:r>
      <w:r w:rsidRPr="00CB55F5">
        <w:rPr>
          <w:rFonts w:ascii="Times New Roman" w:eastAsia="Times New Roman" w:hAnsi="Times New Roman" w:cs="Times New Roman"/>
          <w:b/>
          <w:bCs/>
          <w:sz w:val="24"/>
          <w:szCs w:val="24"/>
          <w:lang w:eastAsia="fr-FR"/>
        </w:rPr>
        <w:t>Jean Luc Nzoubou</w:t>
      </w:r>
      <w:r w:rsidRPr="00CB55F5">
        <w:rPr>
          <w:rFonts w:ascii="Times New Roman" w:eastAsia="Times New Roman" w:hAnsi="Times New Roman" w:cs="Times New Roman"/>
          <w:sz w:val="24"/>
          <w:szCs w:val="24"/>
          <w:lang w:eastAsia="fr-FR"/>
        </w:rPr>
        <w:t>, Directeur Général d'</w:t>
      </w:r>
      <w:proofErr w:type="spellStart"/>
      <w:r w:rsidRPr="00CB55F5">
        <w:rPr>
          <w:rFonts w:ascii="Times New Roman" w:eastAsia="Times New Roman" w:hAnsi="Times New Roman" w:cs="Times New Roman"/>
          <w:sz w:val="24"/>
          <w:szCs w:val="24"/>
          <w:lang w:eastAsia="fr-FR"/>
        </w:rPr>
        <w:t>Advans</w:t>
      </w:r>
      <w:proofErr w:type="spellEnd"/>
      <w:r w:rsidRPr="00CB55F5">
        <w:rPr>
          <w:rFonts w:ascii="Times New Roman" w:eastAsia="Times New Roman" w:hAnsi="Times New Roman" w:cs="Times New Roman"/>
          <w:sz w:val="24"/>
          <w:szCs w:val="24"/>
          <w:lang w:eastAsia="fr-FR"/>
        </w:rPr>
        <w:t xml:space="preserve"> Congo ; </w:t>
      </w:r>
      <w:r w:rsidRPr="00CB55F5">
        <w:rPr>
          <w:rFonts w:ascii="Times New Roman" w:eastAsia="Times New Roman" w:hAnsi="Times New Roman" w:cs="Times New Roman"/>
          <w:b/>
          <w:bCs/>
          <w:sz w:val="24"/>
          <w:szCs w:val="24"/>
          <w:lang w:eastAsia="fr-FR"/>
        </w:rPr>
        <w:t>Nina Fadiga</w:t>
      </w:r>
      <w:r w:rsidRPr="00CB55F5">
        <w:rPr>
          <w:rFonts w:ascii="Times New Roman" w:eastAsia="Times New Roman" w:hAnsi="Times New Roman" w:cs="Times New Roman"/>
          <w:sz w:val="24"/>
          <w:szCs w:val="24"/>
          <w:lang w:eastAsia="fr-FR"/>
        </w:rPr>
        <w:t xml:space="preserve">, Head of Compliance Financial Institutions en Côte </w:t>
      </w:r>
      <w:r w:rsidRPr="00CB55F5">
        <w:rPr>
          <w:rFonts w:ascii="Times New Roman" w:eastAsia="Times New Roman" w:hAnsi="Times New Roman" w:cs="Times New Roman"/>
          <w:sz w:val="24"/>
          <w:szCs w:val="24"/>
          <w:lang w:eastAsia="fr-FR"/>
        </w:rPr>
        <w:lastRenderedPageBreak/>
        <w:t xml:space="preserve">d'Ivoire ; et </w:t>
      </w:r>
      <w:proofErr w:type="spellStart"/>
      <w:r w:rsidRPr="00CB55F5">
        <w:rPr>
          <w:rFonts w:ascii="Times New Roman" w:eastAsia="Times New Roman" w:hAnsi="Times New Roman" w:cs="Times New Roman"/>
          <w:b/>
          <w:bCs/>
          <w:sz w:val="24"/>
          <w:szCs w:val="24"/>
          <w:lang w:eastAsia="fr-FR"/>
        </w:rPr>
        <w:t>Djimhotengar</w:t>
      </w:r>
      <w:proofErr w:type="spellEnd"/>
      <w:r w:rsidRPr="00CB55F5">
        <w:rPr>
          <w:rFonts w:ascii="Times New Roman" w:eastAsia="Times New Roman" w:hAnsi="Times New Roman" w:cs="Times New Roman"/>
          <w:b/>
          <w:bCs/>
          <w:sz w:val="24"/>
          <w:szCs w:val="24"/>
          <w:lang w:eastAsia="fr-FR"/>
        </w:rPr>
        <w:t xml:space="preserve"> </w:t>
      </w:r>
      <w:proofErr w:type="spellStart"/>
      <w:r w:rsidRPr="00CB55F5">
        <w:rPr>
          <w:rFonts w:ascii="Times New Roman" w:eastAsia="Times New Roman" w:hAnsi="Times New Roman" w:cs="Times New Roman"/>
          <w:b/>
          <w:bCs/>
          <w:sz w:val="24"/>
          <w:szCs w:val="24"/>
          <w:lang w:eastAsia="fr-FR"/>
        </w:rPr>
        <w:t>Djerassem</w:t>
      </w:r>
      <w:proofErr w:type="spellEnd"/>
      <w:r w:rsidRPr="00CB55F5">
        <w:rPr>
          <w:rFonts w:ascii="Times New Roman" w:eastAsia="Times New Roman" w:hAnsi="Times New Roman" w:cs="Times New Roman"/>
          <w:sz w:val="24"/>
          <w:szCs w:val="24"/>
          <w:lang w:eastAsia="fr-FR"/>
        </w:rPr>
        <w:t xml:space="preserve">, </w:t>
      </w:r>
      <w:proofErr w:type="spellStart"/>
      <w:r w:rsidRPr="00CB55F5">
        <w:rPr>
          <w:rFonts w:ascii="Times New Roman" w:eastAsia="Times New Roman" w:hAnsi="Times New Roman" w:cs="Times New Roman"/>
          <w:sz w:val="24"/>
          <w:szCs w:val="24"/>
          <w:lang w:eastAsia="fr-FR"/>
        </w:rPr>
        <w:t>Executive</w:t>
      </w:r>
      <w:proofErr w:type="spellEnd"/>
      <w:r w:rsidRPr="00CB55F5">
        <w:rPr>
          <w:rFonts w:ascii="Times New Roman" w:eastAsia="Times New Roman" w:hAnsi="Times New Roman" w:cs="Times New Roman"/>
          <w:sz w:val="24"/>
          <w:szCs w:val="24"/>
          <w:lang w:eastAsia="fr-FR"/>
        </w:rPr>
        <w:t xml:space="preserve"> Director et Chief Risk Officer chez </w:t>
      </w:r>
      <w:proofErr w:type="spellStart"/>
      <w:r w:rsidRPr="00CB55F5">
        <w:rPr>
          <w:rFonts w:ascii="Times New Roman" w:eastAsia="Times New Roman" w:hAnsi="Times New Roman" w:cs="Times New Roman"/>
          <w:sz w:val="24"/>
          <w:szCs w:val="24"/>
          <w:lang w:eastAsia="fr-FR"/>
        </w:rPr>
        <w:t>Equity</w:t>
      </w:r>
      <w:proofErr w:type="spellEnd"/>
      <w:r w:rsidRPr="00CB55F5">
        <w:rPr>
          <w:rFonts w:ascii="Times New Roman" w:eastAsia="Times New Roman" w:hAnsi="Times New Roman" w:cs="Times New Roman"/>
          <w:sz w:val="24"/>
          <w:szCs w:val="24"/>
          <w:lang w:eastAsia="fr-FR"/>
        </w:rPr>
        <w:t xml:space="preserve"> BCDC au Tchad. L'atelier pratique sera animé par David Fourier Affognon (Togo), Mustapha Bouzizoua (France/Luxembourg), </w:t>
      </w:r>
      <w:proofErr w:type="spellStart"/>
      <w:r w:rsidRPr="00CB55F5">
        <w:rPr>
          <w:rFonts w:ascii="Times New Roman" w:eastAsia="Times New Roman" w:hAnsi="Times New Roman" w:cs="Times New Roman"/>
          <w:sz w:val="24"/>
          <w:szCs w:val="24"/>
          <w:lang w:eastAsia="fr-FR"/>
        </w:rPr>
        <w:t>Dofanan</w:t>
      </w:r>
      <w:proofErr w:type="spellEnd"/>
      <w:r w:rsidRPr="00CB55F5">
        <w:rPr>
          <w:rFonts w:ascii="Times New Roman" w:eastAsia="Times New Roman" w:hAnsi="Times New Roman" w:cs="Times New Roman"/>
          <w:sz w:val="24"/>
          <w:szCs w:val="24"/>
          <w:lang w:eastAsia="fr-FR"/>
        </w:rPr>
        <w:t xml:space="preserve"> Coulibaly (Côte d'Ivoire) et David Kompaore (Burkina Faso).</w:t>
      </w:r>
    </w:p>
    <w:p w14:paraId="28F188B3" w14:textId="77777777" w:rsidR="00CB55F5" w:rsidRP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sz w:val="24"/>
          <w:szCs w:val="24"/>
          <w:lang w:eastAsia="fr-FR"/>
        </w:rPr>
        <w:t xml:space="preserve">L'ouverture officielle sera marquée par la participation de </w:t>
      </w:r>
      <w:r w:rsidRPr="00CB55F5">
        <w:rPr>
          <w:rFonts w:ascii="Times New Roman" w:eastAsia="Times New Roman" w:hAnsi="Times New Roman" w:cs="Times New Roman"/>
          <w:b/>
          <w:bCs/>
          <w:sz w:val="24"/>
          <w:szCs w:val="24"/>
          <w:lang w:eastAsia="fr-FR"/>
        </w:rPr>
        <w:t xml:space="preserve">Kossi </w:t>
      </w:r>
      <w:proofErr w:type="spellStart"/>
      <w:r w:rsidRPr="00CB55F5">
        <w:rPr>
          <w:rFonts w:ascii="Times New Roman" w:eastAsia="Times New Roman" w:hAnsi="Times New Roman" w:cs="Times New Roman"/>
          <w:b/>
          <w:bCs/>
          <w:sz w:val="24"/>
          <w:szCs w:val="24"/>
          <w:lang w:eastAsia="fr-FR"/>
        </w:rPr>
        <w:t>Tenou</w:t>
      </w:r>
      <w:proofErr w:type="spellEnd"/>
      <w:r w:rsidRPr="00CB55F5">
        <w:rPr>
          <w:rFonts w:ascii="Times New Roman" w:eastAsia="Times New Roman" w:hAnsi="Times New Roman" w:cs="Times New Roman"/>
          <w:sz w:val="24"/>
          <w:szCs w:val="24"/>
          <w:lang w:eastAsia="fr-FR"/>
        </w:rPr>
        <w:t>, Président de l'Autorité des Marchés Financiers de l'Union Monétaire Ouest Africaine (AMF-UMOA).</w:t>
      </w:r>
    </w:p>
    <w:p w14:paraId="551610AC" w14:textId="77777777" w:rsidR="00CB55F5" w:rsidRP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b/>
          <w:bCs/>
          <w:sz w:val="24"/>
          <w:szCs w:val="24"/>
          <w:lang w:eastAsia="fr-FR"/>
        </w:rPr>
        <w:t>Organisation et partenaires</w:t>
      </w:r>
    </w:p>
    <w:p w14:paraId="4A8A7891" w14:textId="127549F5" w:rsidR="00CB55F5" w:rsidRP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sz w:val="24"/>
          <w:szCs w:val="24"/>
          <w:lang w:eastAsia="fr-FR"/>
        </w:rPr>
        <w:t xml:space="preserve">L'événement est organisé par l'Association Togolaise des Compliance Officers (ATCO), l'Africa Compliance </w:t>
      </w:r>
      <w:proofErr w:type="spellStart"/>
      <w:r w:rsidRPr="00CB55F5">
        <w:rPr>
          <w:rFonts w:ascii="Times New Roman" w:eastAsia="Times New Roman" w:hAnsi="Times New Roman" w:cs="Times New Roman"/>
          <w:sz w:val="24"/>
          <w:szCs w:val="24"/>
          <w:lang w:eastAsia="fr-FR"/>
        </w:rPr>
        <w:t>Academy</w:t>
      </w:r>
      <w:proofErr w:type="spellEnd"/>
      <w:r w:rsidRPr="00CB55F5">
        <w:rPr>
          <w:rFonts w:ascii="Times New Roman" w:eastAsia="Times New Roman" w:hAnsi="Times New Roman" w:cs="Times New Roman"/>
          <w:sz w:val="24"/>
          <w:szCs w:val="24"/>
          <w:lang w:eastAsia="fr-FR"/>
        </w:rPr>
        <w:t xml:space="preserve"> (ACA) et la CENTIF-TOGO, avec le soutien de la Haute Autorité de Prévention et de Lutte contre la Corruption et les Infractions Assimilées (HAPLUCIA). Il bénéficie également de l'appui du GIABA, de la BRVM </w:t>
      </w:r>
      <w:r w:rsidR="00170C47">
        <w:rPr>
          <w:rFonts w:ascii="Times New Roman" w:eastAsia="Times New Roman" w:hAnsi="Times New Roman" w:cs="Times New Roman"/>
          <w:sz w:val="24"/>
          <w:szCs w:val="24"/>
          <w:lang w:eastAsia="fr-FR"/>
        </w:rPr>
        <w:t xml:space="preserve">, de l’AMF-UMOA </w:t>
      </w:r>
      <w:r w:rsidRPr="00CB55F5">
        <w:rPr>
          <w:rFonts w:ascii="Times New Roman" w:eastAsia="Times New Roman" w:hAnsi="Times New Roman" w:cs="Times New Roman"/>
          <w:sz w:val="24"/>
          <w:szCs w:val="24"/>
          <w:lang w:eastAsia="fr-FR"/>
        </w:rPr>
        <w:t>et de plusieurs partenaires institutionnels engagés dans la lutte contre les flux financiers illicites et le renforcement des capacités en matière de conformité.</w:t>
      </w:r>
    </w:p>
    <w:p w14:paraId="3D402399" w14:textId="77777777" w:rsidR="00CB55F5" w:rsidRPr="00CB55F5" w:rsidRDefault="00CB55F5" w:rsidP="00CB55F5">
      <w:pPr>
        <w:spacing w:after="0" w:line="240" w:lineRule="auto"/>
        <w:jc w:val="both"/>
        <w:rPr>
          <w:rFonts w:ascii="Times New Roman" w:eastAsia="Times New Roman" w:hAnsi="Times New Roman" w:cs="Times New Roman"/>
          <w:sz w:val="24"/>
          <w:szCs w:val="24"/>
          <w:lang w:eastAsia="fr-FR"/>
        </w:rPr>
      </w:pPr>
    </w:p>
    <w:p w14:paraId="60A28503" w14:textId="77777777" w:rsid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b/>
          <w:bCs/>
          <w:sz w:val="24"/>
          <w:szCs w:val="24"/>
          <w:lang w:eastAsia="fr-FR"/>
        </w:rPr>
        <w:t>Informations pratiques</w:t>
      </w:r>
      <w:r w:rsidRPr="00CB55F5">
        <w:rPr>
          <w:rFonts w:ascii="Times New Roman" w:eastAsia="Times New Roman" w:hAnsi="Times New Roman" w:cs="Times New Roman"/>
          <w:sz w:val="24"/>
          <w:szCs w:val="24"/>
          <w:lang w:eastAsia="fr-FR"/>
        </w:rPr>
        <w:t xml:space="preserve"> </w:t>
      </w:r>
    </w:p>
    <w:p w14:paraId="55D5BB86" w14:textId="77777777" w:rsid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sz w:val="24"/>
          <w:szCs w:val="24"/>
          <w:lang w:eastAsia="fr-FR"/>
        </w:rPr>
        <w:t xml:space="preserve">Dates : 8 et 9 juillet 2026 | </w:t>
      </w:r>
    </w:p>
    <w:p w14:paraId="0387F20E" w14:textId="77777777" w:rsid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sz w:val="24"/>
          <w:szCs w:val="24"/>
          <w:lang w:eastAsia="fr-FR"/>
        </w:rPr>
        <w:t xml:space="preserve">Lieu : Hôtel 2 Février, Lomé, Togo </w:t>
      </w:r>
    </w:p>
    <w:p w14:paraId="115DA58E" w14:textId="77777777" w:rsid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sz w:val="24"/>
          <w:szCs w:val="24"/>
          <w:lang w:eastAsia="fr-FR"/>
        </w:rPr>
        <w:t xml:space="preserve">Contact presse &amp; partenariat : +228 90 01 02 16 </w:t>
      </w:r>
    </w:p>
    <w:p w14:paraId="50A50157" w14:textId="77777777" w:rsidR="00CB55F5" w:rsidRPr="00170C47"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val="nl-NL" w:eastAsia="fr-FR"/>
        </w:rPr>
      </w:pPr>
      <w:r w:rsidRPr="00170C47">
        <w:rPr>
          <w:rFonts w:ascii="Times New Roman" w:eastAsia="Times New Roman" w:hAnsi="Times New Roman" w:cs="Times New Roman"/>
          <w:sz w:val="24"/>
          <w:szCs w:val="24"/>
          <w:lang w:val="nl-NL" w:eastAsia="fr-FR"/>
        </w:rPr>
        <w:t xml:space="preserve">Site web : </w:t>
      </w:r>
      <w:hyperlink r:id="rId4" w:history="1">
        <w:r w:rsidRPr="00170C47">
          <w:rPr>
            <w:rStyle w:val="Lienhypertexte"/>
            <w:rFonts w:ascii="Times New Roman" w:eastAsia="Times New Roman" w:hAnsi="Times New Roman" w:cs="Times New Roman"/>
            <w:sz w:val="24"/>
            <w:szCs w:val="24"/>
            <w:lang w:val="nl-NL" w:eastAsia="fr-FR"/>
          </w:rPr>
          <w:t>www.afrika-compliance.com</w:t>
        </w:r>
      </w:hyperlink>
    </w:p>
    <w:p w14:paraId="65314EC1" w14:textId="77777777" w:rsidR="00CB55F5" w:rsidRPr="00CB55F5" w:rsidRDefault="00CB55F5" w:rsidP="00CB55F5">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B55F5">
        <w:rPr>
          <w:rFonts w:ascii="Times New Roman" w:eastAsia="Times New Roman" w:hAnsi="Times New Roman" w:cs="Times New Roman"/>
          <w:sz w:val="24"/>
          <w:szCs w:val="24"/>
          <w:lang w:eastAsia="fr-FR"/>
        </w:rPr>
        <w:t>Email : atco.secretariat@afrika-compliance.com</w:t>
      </w:r>
    </w:p>
    <w:p w14:paraId="2FA72E63" w14:textId="77777777" w:rsidR="0008510A" w:rsidRPr="00CB55F5" w:rsidRDefault="0008510A" w:rsidP="00CB55F5">
      <w:pPr>
        <w:jc w:val="both"/>
      </w:pPr>
    </w:p>
    <w:sectPr w:rsidR="0008510A" w:rsidRPr="00CB55F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55F5"/>
    <w:rsid w:val="0008510A"/>
    <w:rsid w:val="00170C47"/>
    <w:rsid w:val="008504A7"/>
    <w:rsid w:val="00CA6C38"/>
    <w:rsid w:val="00CB55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041AC"/>
  <w15:chartTrackingRefBased/>
  <w15:docId w15:val="{D6922E73-01FE-49B6-AD5D-308A24270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CB55F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CB55F5"/>
    <w:rPr>
      <w:b/>
      <w:bCs/>
    </w:rPr>
  </w:style>
  <w:style w:type="character" w:styleId="Accentuation">
    <w:name w:val="Emphasis"/>
    <w:basedOn w:val="Policepardfaut"/>
    <w:uiPriority w:val="20"/>
    <w:qFormat/>
    <w:rsid w:val="00CB55F5"/>
    <w:rPr>
      <w:i/>
      <w:iCs/>
    </w:rPr>
  </w:style>
  <w:style w:type="character" w:styleId="Lienhypertexte">
    <w:name w:val="Hyperlink"/>
    <w:basedOn w:val="Policepardfaut"/>
    <w:uiPriority w:val="99"/>
    <w:unhideWhenUsed/>
    <w:rsid w:val="00CB55F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9386221">
      <w:bodyDiv w:val="1"/>
      <w:marLeft w:val="0"/>
      <w:marRight w:val="0"/>
      <w:marTop w:val="0"/>
      <w:marBottom w:val="0"/>
      <w:divBdr>
        <w:top w:val="none" w:sz="0" w:space="0" w:color="auto"/>
        <w:left w:val="none" w:sz="0" w:space="0" w:color="auto"/>
        <w:bottom w:val="none" w:sz="0" w:space="0" w:color="auto"/>
        <w:right w:val="none" w:sz="0" w:space="0" w:color="auto"/>
      </w:divBdr>
    </w:div>
    <w:div w:id="1731807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frika-compliance.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680</Words>
  <Characters>3745</Characters>
  <Application>Microsoft Office Word</Application>
  <DocSecurity>0</DocSecurity>
  <Lines>31</Lines>
  <Paragraphs>8</Paragraphs>
  <ScaleCrop>false</ScaleCrop>
  <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dc:creator>
  <cp:keywords/>
  <dc:description/>
  <cp:lastModifiedBy>Nikada Batchoudi</cp:lastModifiedBy>
  <cp:revision>2</cp:revision>
  <dcterms:created xsi:type="dcterms:W3CDTF">2026-06-24T09:40:00Z</dcterms:created>
  <dcterms:modified xsi:type="dcterms:W3CDTF">2026-06-24T09:40:00Z</dcterms:modified>
</cp:coreProperties>
</file>